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0A" w:rsidRDefault="00A517EA" w:rsidP="00707F8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  <w:b/>
        </w:rPr>
      </w:pPr>
      <w:r w:rsidRPr="006D731E">
        <w:rPr>
          <w:rFonts w:ascii="Palatino Linotype" w:hAnsi="Palatino Linotype" w:cs="Arial"/>
          <w:b/>
        </w:rPr>
        <w:t>VOTO PARTICULAR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>QUE FORMULA LA COMISIONADA 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  <w:b/>
        </w:rPr>
        <w:t xml:space="preserve">EN RELACIÓN CON LA RESOLUCIÓN DICTADA POR EL PLENO DEL INSTITUTO DE TRANSPARENCIA, ACCESO A LA INFORMACIÓN PÚBLICA Y PROTECCIÓN DE DATOS PERSONALES DEL ESTADO DE MÉXICO Y MUNICIPIOS, EN LA </w:t>
      </w:r>
      <w:r w:rsidR="00A30614">
        <w:rPr>
          <w:rFonts w:ascii="Palatino Linotype" w:hAnsi="Palatino Linotype" w:cs="Arial"/>
          <w:b/>
        </w:rPr>
        <w:t>CUADRAGÉSIMA</w:t>
      </w:r>
      <w:r w:rsidR="00AE03F1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  <w:b/>
        </w:rPr>
        <w:t xml:space="preserve">SESIÓN ORDINARIA DE </w:t>
      </w:r>
      <w:r w:rsidR="00A30614">
        <w:rPr>
          <w:rFonts w:ascii="Palatino Linotype" w:hAnsi="Palatino Linotype" w:cs="Arial"/>
          <w:b/>
        </w:rPr>
        <w:t xml:space="preserve">TREINTA Y UNO </w:t>
      </w:r>
      <w:r w:rsidR="00251C7D">
        <w:rPr>
          <w:rFonts w:ascii="Palatino Linotype" w:hAnsi="Palatino Linotype" w:cs="Arial"/>
          <w:b/>
        </w:rPr>
        <w:t xml:space="preserve">DE OCTUBRE </w:t>
      </w:r>
      <w:r w:rsidRPr="006D731E">
        <w:rPr>
          <w:rFonts w:ascii="Palatino Linotype" w:hAnsi="Palatino Linotype" w:cs="Arial"/>
          <w:b/>
        </w:rPr>
        <w:t xml:space="preserve">DE DOS MIL </w:t>
      </w:r>
      <w:r w:rsidR="006D731E">
        <w:rPr>
          <w:rFonts w:ascii="Palatino Linotype" w:hAnsi="Palatino Linotype" w:cs="Arial"/>
          <w:b/>
        </w:rPr>
        <w:t>DIECIOCHO</w:t>
      </w:r>
      <w:r w:rsidRPr="006D731E">
        <w:rPr>
          <w:rFonts w:ascii="Palatino Linotype" w:hAnsi="Palatino Linotype" w:cs="Arial"/>
          <w:b/>
        </w:rPr>
        <w:t xml:space="preserve">, EN </w:t>
      </w:r>
      <w:r w:rsidR="00F52359">
        <w:rPr>
          <w:rFonts w:ascii="Palatino Linotype" w:hAnsi="Palatino Linotype" w:cs="Arial"/>
          <w:b/>
        </w:rPr>
        <w:t>EL</w:t>
      </w:r>
      <w:r w:rsidRPr="006D731E">
        <w:rPr>
          <w:rFonts w:ascii="Palatino Linotype" w:hAnsi="Palatino Linotype" w:cs="Arial"/>
          <w:b/>
        </w:rPr>
        <w:t xml:space="preserve"> RECURSO</w:t>
      </w:r>
      <w:r w:rsidR="009C290A">
        <w:rPr>
          <w:rFonts w:ascii="Palatino Linotype" w:hAnsi="Palatino Linotype" w:cs="Arial"/>
          <w:b/>
        </w:rPr>
        <w:t xml:space="preserve"> DE REVISIÓN </w:t>
      </w:r>
      <w:r w:rsidR="00A30614">
        <w:rPr>
          <w:rFonts w:ascii="Palatino Linotype" w:hAnsi="Palatino Linotype" w:cs="Arial"/>
          <w:b/>
        </w:rPr>
        <w:t>03016</w:t>
      </w:r>
      <w:r w:rsidR="00AE03F1" w:rsidRPr="00AE03F1">
        <w:rPr>
          <w:rFonts w:ascii="Palatino Linotype" w:hAnsi="Palatino Linotype" w:cs="Arial"/>
          <w:b/>
        </w:rPr>
        <w:t>/INFOEM/IP/RR/2018</w:t>
      </w:r>
      <w:r w:rsidR="00823404">
        <w:rPr>
          <w:rFonts w:ascii="Palatino Linotype" w:hAnsi="Palatino Linotype" w:cs="Arial"/>
          <w:b/>
        </w:rPr>
        <w:t>.</w:t>
      </w:r>
    </w:p>
    <w:p w:rsidR="000F0C55" w:rsidRDefault="00A517EA" w:rsidP="00707F8E">
      <w:pPr>
        <w:widowControl w:val="0"/>
        <w:spacing w:before="100" w:beforeAutospacing="1" w:after="100" w:afterAutospacing="1" w:line="360" w:lineRule="auto"/>
        <w:ind w:right="-164"/>
        <w:jc w:val="both"/>
        <w:rPr>
          <w:rFonts w:ascii="Palatino Linotype" w:hAnsi="Palatino Linotype" w:cs="Arial"/>
        </w:rPr>
      </w:pPr>
      <w:r w:rsidRPr="006D731E">
        <w:rPr>
          <w:rFonts w:ascii="Palatino Linotype" w:hAnsi="Palatino Linotype" w:cs="Arial"/>
        </w:rPr>
        <w:t>Con fundamento en lo dispuesto por el artículo 14, fracciones X y XI del Reglamento Interior del Instituto de Transparencia, Acceso a la Información Pública y Protección de Datos Personales del Estado de México y Municipios, la que suscribe</w:t>
      </w:r>
      <w:r w:rsidRPr="006D731E">
        <w:rPr>
          <w:rFonts w:ascii="Palatino Linotype" w:hAnsi="Palatino Linotype" w:cs="Arial"/>
          <w:b/>
          <w:lang w:val="es-ES_tradnl"/>
        </w:rPr>
        <w:t xml:space="preserve"> </w:t>
      </w:r>
      <w:r w:rsidRPr="006D731E">
        <w:rPr>
          <w:rFonts w:ascii="Palatino Linotype" w:hAnsi="Palatino Linotype" w:cs="Arial"/>
          <w:b/>
        </w:rPr>
        <w:t>EVA ABAID YAPUR</w:t>
      </w:r>
      <w:r w:rsidR="00F44407">
        <w:rPr>
          <w:rFonts w:ascii="Palatino Linotype" w:hAnsi="Palatino Linotype" w:cs="Arial"/>
          <w:b/>
        </w:rPr>
        <w:t xml:space="preserve">, </w:t>
      </w:r>
      <w:r w:rsidRPr="006D731E">
        <w:rPr>
          <w:rFonts w:ascii="Palatino Linotype" w:hAnsi="Palatino Linotype" w:cs="Arial"/>
        </w:rPr>
        <w:t>emite</w:t>
      </w:r>
      <w:r w:rsidR="009C290A">
        <w:rPr>
          <w:rFonts w:ascii="Palatino Linotype" w:hAnsi="Palatino Linotype" w:cs="Arial"/>
        </w:rPr>
        <w:t>n</w:t>
      </w:r>
      <w:r w:rsidRPr="006D731E">
        <w:rPr>
          <w:rFonts w:ascii="Palatino Linotype" w:hAnsi="Palatino Linotype" w:cs="Arial"/>
        </w:rPr>
        <w:t xml:space="preserve"> </w:t>
      </w:r>
      <w:r w:rsidRPr="006D731E">
        <w:rPr>
          <w:rFonts w:ascii="Palatino Linotype" w:hAnsi="Palatino Linotype" w:cs="Arial"/>
          <w:b/>
        </w:rPr>
        <w:t>VOTO PARTICULAR</w:t>
      </w:r>
      <w:r w:rsidR="009C290A">
        <w:rPr>
          <w:rFonts w:ascii="Palatino Linotype" w:hAnsi="Palatino Linotype" w:cs="Arial"/>
          <w:b/>
        </w:rPr>
        <w:t xml:space="preserve"> </w:t>
      </w:r>
      <w:r w:rsidRPr="006D731E">
        <w:rPr>
          <w:rFonts w:ascii="Palatino Linotype" w:hAnsi="Palatino Linotype" w:cs="Arial"/>
        </w:rPr>
        <w:t xml:space="preserve">respecto de la resolución dictada en </w:t>
      </w:r>
      <w:r w:rsidR="00F52359">
        <w:rPr>
          <w:rFonts w:ascii="Palatino Linotype" w:hAnsi="Palatino Linotype" w:cs="Arial"/>
        </w:rPr>
        <w:t>el</w:t>
      </w:r>
      <w:r w:rsidRPr="006D731E">
        <w:rPr>
          <w:rFonts w:ascii="Palatino Linotype" w:hAnsi="Palatino Linotype" w:cs="Arial"/>
        </w:rPr>
        <w:t xml:space="preserve"> recurso de revisión</w:t>
      </w:r>
      <w:r w:rsidR="00697836">
        <w:rPr>
          <w:rFonts w:ascii="Palatino Linotype" w:hAnsi="Palatino Linotype" w:cs="Arial"/>
        </w:rPr>
        <w:t xml:space="preserve"> </w:t>
      </w:r>
      <w:r w:rsidR="00A30614">
        <w:rPr>
          <w:rFonts w:ascii="Palatino Linotype" w:hAnsi="Palatino Linotype" w:cs="Arial"/>
          <w:b/>
        </w:rPr>
        <w:t>03016</w:t>
      </w:r>
      <w:r w:rsidR="009C290A" w:rsidRPr="009C290A">
        <w:rPr>
          <w:rFonts w:ascii="Palatino Linotype" w:hAnsi="Palatino Linotype" w:cs="Arial"/>
          <w:b/>
        </w:rPr>
        <w:t>/INFOEM/IP/RR/2018</w:t>
      </w:r>
      <w:r w:rsidRPr="006D731E">
        <w:rPr>
          <w:rFonts w:ascii="Palatino Linotype" w:eastAsia="Calibri" w:hAnsi="Palatino Linotype" w:cs="Arial"/>
          <w:b/>
        </w:rPr>
        <w:t>,</w:t>
      </w:r>
      <w:r w:rsidRPr="006D731E">
        <w:rPr>
          <w:rFonts w:ascii="Palatino Linotype" w:hAnsi="Palatino Linotype"/>
          <w:b/>
          <w:bCs/>
        </w:rPr>
        <w:t xml:space="preserve"> </w:t>
      </w:r>
      <w:r w:rsidRPr="006D731E">
        <w:rPr>
          <w:rFonts w:ascii="Palatino Linotype" w:hAnsi="Palatino Linotype" w:cs="Arial"/>
        </w:rPr>
        <w:t xml:space="preserve">pronunciada por el Pleno de este Instituto ante el proyecto presentado </w:t>
      </w:r>
      <w:r w:rsidR="00E46292">
        <w:rPr>
          <w:rFonts w:ascii="Palatino Linotype" w:hAnsi="Palatino Linotype" w:cs="Arial"/>
        </w:rPr>
        <w:t xml:space="preserve">por </w:t>
      </w:r>
      <w:r w:rsidR="00251C7D">
        <w:rPr>
          <w:rFonts w:ascii="Palatino Linotype" w:hAnsi="Palatino Linotype" w:cs="Arial"/>
        </w:rPr>
        <w:t xml:space="preserve">el Comisionado </w:t>
      </w:r>
      <w:r w:rsidR="00251C7D">
        <w:rPr>
          <w:rFonts w:ascii="Palatino Linotype" w:hAnsi="Palatino Linotype" w:cs="Arial"/>
          <w:b/>
        </w:rPr>
        <w:t>JAVIER MARTÍNEZ CRUZ</w:t>
      </w:r>
      <w:r w:rsidRPr="006D731E">
        <w:rPr>
          <w:rFonts w:ascii="Palatino Linotype" w:hAnsi="Palatino Linotype" w:cs="Arial"/>
        </w:rPr>
        <w:t xml:space="preserve">, </w:t>
      </w:r>
      <w:r w:rsidR="00F579EE">
        <w:rPr>
          <w:rFonts w:ascii="Palatino Linotype" w:hAnsi="Palatino Linotype" w:cs="Arial"/>
        </w:rPr>
        <w:t>que es del tenor siguiente.</w:t>
      </w:r>
    </w:p>
    <w:p w:rsidR="00F44407" w:rsidRDefault="00A517EA" w:rsidP="00A30614">
      <w:pPr>
        <w:spacing w:before="100" w:beforeAutospacing="1" w:after="100" w:afterAutospacing="1" w:line="360" w:lineRule="auto"/>
        <w:jc w:val="both"/>
        <w:rPr>
          <w:rFonts w:ascii="Palatino Linotype" w:hAnsi="Palatino Linotype"/>
        </w:rPr>
      </w:pPr>
      <w:r w:rsidRPr="006D731E">
        <w:rPr>
          <w:rFonts w:ascii="Palatino Linotype" w:hAnsi="Palatino Linotype"/>
        </w:rPr>
        <w:t>Es de destacar</w:t>
      </w:r>
      <w:r w:rsidR="00251C7D">
        <w:rPr>
          <w:rFonts w:ascii="Palatino Linotype" w:hAnsi="Palatino Linotype"/>
        </w:rPr>
        <w:t>, que la</w:t>
      </w:r>
      <w:r w:rsidR="009C290A">
        <w:rPr>
          <w:rFonts w:ascii="Palatino Linotype" w:hAnsi="Palatino Linotype"/>
        </w:rPr>
        <w:t xml:space="preserve"> </w:t>
      </w:r>
      <w:r w:rsidR="00251C7D">
        <w:rPr>
          <w:rFonts w:ascii="Palatino Linotype" w:hAnsi="Palatino Linotype"/>
        </w:rPr>
        <w:t>suscrita</w:t>
      </w:r>
      <w:r w:rsidRPr="006D731E">
        <w:rPr>
          <w:rFonts w:ascii="Palatino Linotype" w:hAnsi="Palatino Linotype"/>
        </w:rPr>
        <w:t xml:space="preserve"> compart</w:t>
      </w:r>
      <w:r w:rsidR="00251C7D">
        <w:rPr>
          <w:rFonts w:ascii="Palatino Linotype" w:hAnsi="Palatino Linotype"/>
        </w:rPr>
        <w:t>e</w:t>
      </w:r>
      <w:r w:rsidRPr="006D731E">
        <w:rPr>
          <w:rFonts w:ascii="Palatino Linotype" w:hAnsi="Palatino Linotype"/>
        </w:rPr>
        <w:t xml:space="preserve"> esencialmente el estudio y sentido de la resolución del recurso de revisión; empero, </w:t>
      </w:r>
      <w:r w:rsidR="0084457B">
        <w:rPr>
          <w:rFonts w:ascii="Palatino Linotype" w:hAnsi="Palatino Linotype"/>
        </w:rPr>
        <w:t>estimamos</w:t>
      </w:r>
      <w:r w:rsidRPr="006D731E">
        <w:rPr>
          <w:rFonts w:ascii="Palatino Linotype" w:hAnsi="Palatino Linotype"/>
        </w:rPr>
        <w:t xml:space="preserve"> necesario precisar algunas consid</w:t>
      </w:r>
      <w:r w:rsidR="00E27678">
        <w:rPr>
          <w:rFonts w:ascii="Palatino Linotype" w:hAnsi="Palatino Linotype"/>
        </w:rPr>
        <w:t>eraciones de hecho y de derecho.</w:t>
      </w:r>
    </w:p>
    <w:p w:rsidR="00F44407" w:rsidRPr="00716A47" w:rsidRDefault="00F44407" w:rsidP="00F44407">
      <w:pPr>
        <w:spacing w:line="360" w:lineRule="auto"/>
        <w:ind w:right="49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Al respecto, t</w:t>
      </w:r>
      <w:r w:rsidRPr="00D93A88">
        <w:rPr>
          <w:rFonts w:ascii="Palatino Linotype" w:hAnsi="Palatino Linotype"/>
        </w:rPr>
        <w:t xml:space="preserve">al y como quedó debidamente asentado en la resolución materia del presente voto, </w:t>
      </w:r>
      <w:r>
        <w:rPr>
          <w:rFonts w:ascii="Palatino Linotype" w:hAnsi="Palatino Linotype"/>
        </w:rPr>
        <w:t>el</w:t>
      </w:r>
      <w:r w:rsidRPr="00D93A88">
        <w:rPr>
          <w:rFonts w:ascii="Palatino Linotype" w:hAnsi="Palatino Linotype"/>
        </w:rPr>
        <w:t xml:space="preserve"> particular </w:t>
      </w:r>
      <w:r>
        <w:rPr>
          <w:rFonts w:ascii="Palatino Linotype" w:hAnsi="Palatino Linotype"/>
        </w:rPr>
        <w:t xml:space="preserve">requirió del </w:t>
      </w:r>
      <w:r w:rsidR="00A30614" w:rsidRPr="008D0104">
        <w:rPr>
          <w:rFonts w:ascii="Palatino Linotype" w:hAnsi="Palatino Linotype" w:cs="Arial"/>
          <w:b/>
        </w:rPr>
        <w:t>Instituto Electoral del Estado de México</w:t>
      </w:r>
      <w:r>
        <w:rPr>
          <w:rFonts w:ascii="Palatino Linotype" w:hAnsi="Palatino Linotype"/>
        </w:rPr>
        <w:t xml:space="preserve">, en lo sucesivo </w:t>
      </w:r>
      <w:r w:rsidRPr="006078FA">
        <w:rPr>
          <w:rFonts w:ascii="Palatino Linotype" w:hAnsi="Palatino Linotype"/>
          <w:b/>
        </w:rPr>
        <w:t>EL</w:t>
      </w:r>
      <w:r>
        <w:rPr>
          <w:rFonts w:ascii="Palatino Linotype" w:hAnsi="Palatino Linotype"/>
        </w:rPr>
        <w:t xml:space="preserve"> </w:t>
      </w:r>
      <w:r w:rsidRPr="008C0700">
        <w:rPr>
          <w:rFonts w:ascii="Palatino Linotype" w:hAnsi="Palatino Linotype"/>
          <w:b/>
        </w:rPr>
        <w:t>SUJETO OBLIGADO</w:t>
      </w:r>
      <w:r>
        <w:rPr>
          <w:rFonts w:ascii="Palatino Linotype" w:hAnsi="Palatino Linotype"/>
          <w:b/>
        </w:rPr>
        <w:t>,</w:t>
      </w:r>
      <w:r>
        <w:t xml:space="preserve"> </w:t>
      </w:r>
      <w:r w:rsidR="00A30614" w:rsidRPr="00A30614">
        <w:rPr>
          <w:rFonts w:ascii="Palatino Linotype" w:hAnsi="Palatino Linotype"/>
        </w:rPr>
        <w:t>la declaración de bienes de la</w:t>
      </w:r>
      <w:r w:rsidR="00A30614">
        <w:rPr>
          <w:rFonts w:ascii="Palatino Linotype" w:hAnsi="Palatino Linotype"/>
        </w:rPr>
        <w:t xml:space="preserve"> servidor público </w:t>
      </w:r>
      <w:r w:rsidR="00A30614">
        <w:rPr>
          <w:rFonts w:ascii="Palatino Linotype" w:hAnsi="Palatino Linotype"/>
        </w:rPr>
        <w:lastRenderedPageBreak/>
        <w:t xml:space="preserve">que se especifica dentro la solicitud de los años que ha </w:t>
      </w:r>
      <w:r w:rsidR="00A30614" w:rsidRPr="00A30614">
        <w:rPr>
          <w:rFonts w:ascii="Palatino Linotype" w:hAnsi="Palatino Linotype"/>
        </w:rPr>
        <w:t>laborado como Jefa de la Unidad de Transparencia</w:t>
      </w:r>
      <w:r>
        <w:rPr>
          <w:rFonts w:ascii="Palatino Linotype" w:hAnsi="Palatino Linotype"/>
        </w:rPr>
        <w:t xml:space="preserve">. </w:t>
      </w:r>
    </w:p>
    <w:p w:rsidR="008B738A" w:rsidRDefault="00F44407" w:rsidP="008B738A">
      <w:pPr>
        <w:spacing w:before="240" w:after="240" w:line="360" w:lineRule="auto"/>
        <w:jc w:val="both"/>
        <w:rPr>
          <w:rFonts w:ascii="Palatino Linotype" w:hAnsi="Palatino Linotype"/>
        </w:rPr>
      </w:pPr>
      <w:r>
        <w:rPr>
          <w:rFonts w:ascii="Palatino Linotype" w:hAnsi="Palatino Linotype" w:cs="Arial"/>
        </w:rPr>
        <w:t xml:space="preserve">De las constancias que obran en el </w:t>
      </w:r>
      <w:r w:rsidRPr="00FD67FE">
        <w:rPr>
          <w:rFonts w:ascii="Palatino Linotype" w:hAnsi="Palatino Linotype" w:cs="Arial"/>
        </w:rPr>
        <w:t>Sistema de Acceso a la Información Mexiquens</w:t>
      </w:r>
      <w:r>
        <w:rPr>
          <w:rFonts w:ascii="Palatino Linotype" w:hAnsi="Palatino Linotype" w:cs="Arial"/>
        </w:rPr>
        <w:t xml:space="preserve">e, </w:t>
      </w:r>
      <w:r w:rsidRPr="00931234">
        <w:rPr>
          <w:rFonts w:ascii="Palatino Linotype" w:hAnsi="Palatino Linotype" w:cs="Arial"/>
          <w:b/>
        </w:rPr>
        <w:t>SAIMEX</w:t>
      </w:r>
      <w:r>
        <w:rPr>
          <w:rFonts w:ascii="Palatino Linotype" w:hAnsi="Palatino Linotype" w:cs="Arial"/>
          <w:b/>
        </w:rPr>
        <w:t>,</w:t>
      </w:r>
      <w:r w:rsidRPr="00931234">
        <w:rPr>
          <w:rFonts w:ascii="Palatino Linotype" w:hAnsi="Palatino Linotype" w:cs="Arial"/>
          <w:b/>
        </w:rPr>
        <w:t xml:space="preserve"> </w:t>
      </w:r>
      <w:r>
        <w:rPr>
          <w:rFonts w:ascii="Palatino Linotype" w:hAnsi="Palatino Linotype" w:cs="Arial"/>
        </w:rPr>
        <w:t xml:space="preserve">se advierte que, </w:t>
      </w:r>
      <w:r w:rsidRPr="00B57FE6">
        <w:rPr>
          <w:rFonts w:ascii="Palatino Linotype" w:hAnsi="Palatino Linotype" w:cs="Arial"/>
          <w:b/>
        </w:rPr>
        <w:t>EL SUJETO OBLIGADO</w:t>
      </w:r>
      <w:r>
        <w:rPr>
          <w:rFonts w:ascii="Palatino Linotype" w:hAnsi="Palatino Linotype" w:cs="Arial"/>
        </w:rPr>
        <w:t xml:space="preserve"> a través de su respuesta </w:t>
      </w:r>
      <w:r w:rsidR="008B738A" w:rsidRPr="00722FEE">
        <w:rPr>
          <w:rFonts w:ascii="Palatino Linotype" w:hAnsi="Palatino Linotype"/>
        </w:rPr>
        <w:t>adjuntó la versión pública de cinco formatos de las Declaraciones de Situación Patri</w:t>
      </w:r>
      <w:r w:rsidR="008B738A">
        <w:rPr>
          <w:rFonts w:ascii="Palatino Linotype" w:hAnsi="Palatino Linotype"/>
        </w:rPr>
        <w:t xml:space="preserve">monial y de Intereses, así como </w:t>
      </w:r>
      <w:r w:rsidR="008B738A" w:rsidRPr="00722FEE">
        <w:rPr>
          <w:rFonts w:ascii="Palatino Linotype" w:hAnsi="Palatino Linotype"/>
        </w:rPr>
        <w:t>el formato “Leyenda de Clasificación Parcial de Declaraciones Patrimoniales y de Intereses” de la</w:t>
      </w:r>
      <w:r w:rsidR="008B738A">
        <w:rPr>
          <w:rFonts w:ascii="Palatino Linotype" w:hAnsi="Palatino Linotype"/>
        </w:rPr>
        <w:t xml:space="preserve"> servidora pública multicitada </w:t>
      </w:r>
      <w:r w:rsidR="008B738A" w:rsidRPr="00722FEE">
        <w:rPr>
          <w:rFonts w:ascii="Palatino Linotype" w:hAnsi="Palatino Linotype"/>
        </w:rPr>
        <w:t xml:space="preserve">relacionados con los años 2014 (alta) y 2015 a 2018 (anuales), así como el Acuerdo </w:t>
      </w:r>
      <w:r w:rsidR="008B738A" w:rsidRPr="008B738A">
        <w:rPr>
          <w:rFonts w:ascii="Palatino Linotype" w:hAnsi="Palatino Linotype"/>
        </w:rPr>
        <w:t>IEEM/CT/242/2018</w:t>
      </w:r>
      <w:r w:rsidR="008B738A" w:rsidRPr="00722FEE">
        <w:rPr>
          <w:rFonts w:ascii="Palatino Linotype" w:hAnsi="Palatino Linotype"/>
        </w:rPr>
        <w:t xml:space="preserve"> de fecha diecinueve de j</w:t>
      </w:r>
      <w:r w:rsidR="008B738A">
        <w:rPr>
          <w:rFonts w:ascii="Palatino Linotype" w:hAnsi="Palatino Linotype"/>
        </w:rPr>
        <w:t>ulio de dos mil dieciocho</w:t>
      </w:r>
      <w:r w:rsidR="008B738A" w:rsidRPr="00722FEE">
        <w:rPr>
          <w:rFonts w:ascii="Palatino Linotype" w:hAnsi="Palatino Linotype"/>
        </w:rPr>
        <w:t xml:space="preserve"> que confirma </w:t>
      </w:r>
      <w:r w:rsidR="008B738A">
        <w:rPr>
          <w:rFonts w:ascii="Palatino Linotype" w:hAnsi="Palatino Linotype"/>
        </w:rPr>
        <w:t>la clasificación de información.</w:t>
      </w:r>
    </w:p>
    <w:p w:rsidR="00F44407" w:rsidRPr="0084457B" w:rsidRDefault="00F44407" w:rsidP="00155AA2">
      <w:pPr>
        <w:spacing w:before="240" w:after="240" w:line="360" w:lineRule="auto"/>
        <w:jc w:val="both"/>
        <w:rPr>
          <w:rFonts w:ascii="Palatino Linotype" w:hAnsi="Palatino Linotype" w:cs="Arial"/>
          <w:i/>
          <w:sz w:val="22"/>
          <w:szCs w:val="22"/>
        </w:rPr>
      </w:pPr>
      <w:r w:rsidRPr="006B517F">
        <w:rPr>
          <w:rFonts w:ascii="Palatino Linotype" w:hAnsi="Palatino Linotype" w:cs="Arial"/>
        </w:rPr>
        <w:t xml:space="preserve">Inconforme con la respuesta, </w:t>
      </w:r>
      <w:r w:rsidRPr="006B517F">
        <w:rPr>
          <w:rFonts w:ascii="Palatino Linotype" w:hAnsi="Palatino Linotype" w:cs="Arial"/>
          <w:b/>
        </w:rPr>
        <w:t>EL RECURRENTE</w:t>
      </w:r>
      <w:r w:rsidRPr="006B517F">
        <w:rPr>
          <w:rFonts w:ascii="Palatino Linotype" w:hAnsi="Palatino Linotype" w:cs="Arial"/>
        </w:rPr>
        <w:t xml:space="preserve"> interpuso el recurso de revisión de mérito, manifestando como razones o motivos de inconformidad </w:t>
      </w:r>
      <w:r w:rsidR="00155AA2">
        <w:rPr>
          <w:rFonts w:ascii="Palatino Linotype" w:hAnsi="Palatino Linotype"/>
        </w:rPr>
        <w:t xml:space="preserve">arguyó que </w:t>
      </w:r>
      <w:r w:rsidR="00251C7D">
        <w:rPr>
          <w:rFonts w:ascii="Palatino Linotype" w:hAnsi="Palatino Linotype"/>
        </w:rPr>
        <w:t xml:space="preserve">del contenido de </w:t>
      </w:r>
      <w:r w:rsidR="00155AA2">
        <w:rPr>
          <w:rFonts w:ascii="Palatino Linotype" w:hAnsi="Palatino Linotype"/>
        </w:rPr>
        <w:t>la información que se entregó</w:t>
      </w:r>
      <w:r w:rsidR="00251C7D">
        <w:rPr>
          <w:rFonts w:ascii="Palatino Linotype" w:hAnsi="Palatino Linotype"/>
        </w:rPr>
        <w:t xml:space="preserve"> se testó o suprimió la totalidad de información</w:t>
      </w:r>
      <w:r w:rsidR="00155AA2" w:rsidRPr="00E5018C">
        <w:rPr>
          <w:rFonts w:ascii="Palatino Linotype" w:hAnsi="Palatino Linotype"/>
          <w:lang w:eastAsia="es-MX"/>
        </w:rPr>
        <w:t>; que la Titular de la Unidad de Transparencia dio su consentimiento para que se entregara la documentación solic</w:t>
      </w:r>
      <w:r w:rsidR="00155AA2">
        <w:rPr>
          <w:rFonts w:ascii="Palatino Linotype" w:hAnsi="Palatino Linotype"/>
          <w:lang w:eastAsia="es-MX"/>
        </w:rPr>
        <w:t>i</w:t>
      </w:r>
      <w:r w:rsidR="00155AA2" w:rsidRPr="00E5018C">
        <w:rPr>
          <w:rFonts w:ascii="Palatino Linotype" w:hAnsi="Palatino Linotype"/>
          <w:lang w:eastAsia="es-MX"/>
        </w:rPr>
        <w:t>tada;</w:t>
      </w:r>
      <w:r w:rsidR="00251C7D">
        <w:rPr>
          <w:rFonts w:ascii="Palatino Linotype" w:hAnsi="Palatino Linotype"/>
          <w:lang w:eastAsia="es-MX"/>
        </w:rPr>
        <w:t xml:space="preserve"> lo que resultaba contrario ya</w:t>
      </w:r>
      <w:r w:rsidR="00155AA2" w:rsidRPr="00E5018C">
        <w:rPr>
          <w:rFonts w:ascii="Palatino Linotype" w:hAnsi="Palatino Linotype"/>
          <w:lang w:eastAsia="es-MX"/>
        </w:rPr>
        <w:t xml:space="preserve"> que no existe un impedimento para entregar toda la información</w:t>
      </w:r>
      <w:r w:rsidR="00155AA2">
        <w:rPr>
          <w:rFonts w:ascii="Palatino Linotype" w:hAnsi="Palatino Linotype"/>
          <w:lang w:eastAsia="es-MX"/>
        </w:rPr>
        <w:t>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/>
        </w:rPr>
      </w:pPr>
    </w:p>
    <w:p w:rsidR="00F44407" w:rsidRPr="009E0C3D" w:rsidRDefault="00F44407" w:rsidP="009E0C3D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Así, del estudio del expediente electrónico</w:t>
      </w:r>
      <w:r w:rsidRPr="006078FA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la Ponencia </w:t>
      </w:r>
      <w:proofErr w:type="spellStart"/>
      <w:r>
        <w:rPr>
          <w:rFonts w:ascii="Palatino Linotype" w:hAnsi="Palatino Linotype" w:cs="Arial"/>
        </w:rPr>
        <w:t>Resolutora</w:t>
      </w:r>
      <w:proofErr w:type="spellEnd"/>
      <w:r>
        <w:rPr>
          <w:rFonts w:ascii="Palatino Linotype" w:hAnsi="Palatino Linotype" w:cs="Arial"/>
        </w:rPr>
        <w:t xml:space="preserve"> determinó </w:t>
      </w:r>
      <w:r w:rsidR="00155AA2">
        <w:rPr>
          <w:rFonts w:ascii="Palatino Linotype" w:hAnsi="Palatino Linotype" w:cs="Arial"/>
          <w:b/>
        </w:rPr>
        <w:t>SOBRESEER</w:t>
      </w:r>
      <w:r w:rsidRPr="006078FA">
        <w:rPr>
          <w:rFonts w:ascii="Palatino Linotype" w:hAnsi="Palatino Linotype" w:cs="Arial"/>
        </w:rPr>
        <w:t xml:space="preserve"> </w:t>
      </w:r>
      <w:r w:rsidR="00155AA2">
        <w:rPr>
          <w:rFonts w:ascii="Palatino Linotype" w:hAnsi="Palatino Linotype" w:cs="Arial"/>
        </w:rPr>
        <w:t>el recurso de revisión en razón de haber quedado sin materia</w:t>
      </w:r>
      <w:r w:rsidR="009E0C3D">
        <w:rPr>
          <w:rFonts w:ascii="Palatino Linotype" w:hAnsi="Palatino Linotype" w:cs="Arial"/>
        </w:rPr>
        <w:t>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 w:rsidRPr="001D3F57">
        <w:rPr>
          <w:rFonts w:ascii="Palatino Linotype" w:hAnsi="Palatino Linotype" w:cs="Arial"/>
        </w:rPr>
        <w:t xml:space="preserve">En ese sentido, la que suscribe reitera, que si bien coincide en términos generales </w:t>
      </w:r>
      <w:r>
        <w:rPr>
          <w:rFonts w:ascii="Palatino Linotype" w:hAnsi="Palatino Linotype" w:cs="Arial"/>
        </w:rPr>
        <w:t xml:space="preserve">con el sentido de la resolución en comento, considero, que se encuadra la hipótesis </w:t>
      </w:r>
      <w:r>
        <w:rPr>
          <w:rFonts w:ascii="Palatino Linotype" w:hAnsi="Palatino Linotype" w:cs="Arial"/>
        </w:rPr>
        <w:lastRenderedPageBreak/>
        <w:t xml:space="preserve">contenida en los artículos 159 y 160 de la Ley General de Transparencia y Acceso a la Información Pública, a fin de interponer el recurso de inconformidad ante el  </w:t>
      </w:r>
      <w:r w:rsidRPr="00D642EC">
        <w:rPr>
          <w:rFonts w:ascii="Palatino Linotype" w:hAnsi="Palatino Linotype" w:cs="Arial"/>
        </w:rPr>
        <w:t>Instituto Nacional de Transparencia, Acceso a la Información y</w:t>
      </w:r>
      <w:r>
        <w:rPr>
          <w:rFonts w:ascii="Palatino Linotype" w:hAnsi="Palatino Linotype" w:cs="Arial"/>
        </w:rPr>
        <w:t xml:space="preserve"> Protección de Datos Personales.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Lo anterior, obedece a que </w:t>
      </w:r>
      <w:r w:rsidR="009E0C3D">
        <w:rPr>
          <w:rFonts w:ascii="Palatino Linotype" w:hAnsi="Palatino Linotype" w:cs="Arial"/>
        </w:rPr>
        <w:t xml:space="preserve">dentro </w:t>
      </w:r>
      <w:r>
        <w:rPr>
          <w:rFonts w:ascii="Palatino Linotype" w:hAnsi="Palatino Linotype" w:cs="Arial"/>
        </w:rPr>
        <w:t>de la respuesta se advierte</w:t>
      </w:r>
      <w:r w:rsidR="0084457B">
        <w:rPr>
          <w:rFonts w:ascii="Palatino Linotype" w:hAnsi="Palatino Linotype" w:cs="Arial"/>
        </w:rPr>
        <w:t xml:space="preserve"> que</w:t>
      </w:r>
      <w:r>
        <w:rPr>
          <w:rFonts w:ascii="Palatino Linotype" w:hAnsi="Palatino Linotype" w:cs="Arial"/>
        </w:rPr>
        <w:t xml:space="preserve"> </w:t>
      </w:r>
      <w:r w:rsidR="009E0C3D" w:rsidRPr="009E0C3D">
        <w:rPr>
          <w:rFonts w:ascii="Palatino Linotype" w:hAnsi="Palatino Linotype" w:cs="Arial"/>
          <w:b/>
        </w:rPr>
        <w:t>EL SUJETO OBLIGADO</w:t>
      </w:r>
      <w:r w:rsidR="009E0C3D">
        <w:rPr>
          <w:rFonts w:ascii="Palatino Linotype" w:hAnsi="Palatino Linotype" w:cs="Arial"/>
        </w:rPr>
        <w:t xml:space="preserve"> proporcionó</w:t>
      </w:r>
      <w:r w:rsidR="00251C7D">
        <w:rPr>
          <w:rFonts w:ascii="Palatino Linotype" w:hAnsi="Palatino Linotype" w:cs="Arial"/>
        </w:rPr>
        <w:t xml:space="preserve"> el Acuerdo de clasificación de la información</w:t>
      </w:r>
      <w:r>
        <w:rPr>
          <w:rFonts w:ascii="Palatino Linotype" w:hAnsi="Palatino Linotype" w:cs="Arial"/>
        </w:rPr>
        <w:t>, de manera formal como lo establece la Ley de la materia.</w:t>
      </w: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ese contexto, conviene precisar que los artículos 159 y 160 de la Ley General, se encuentran inmersos en el Título Octavo de la Ley en cita, denominado “De los Procedimientos de Impugnación en Materia de Acceso a la Información Pública”, es</w:t>
      </w:r>
      <w:r w:rsidR="00C17C49">
        <w:rPr>
          <w:rFonts w:ascii="Palatino Linotype" w:hAnsi="Palatino Linotype" w:cs="Arial"/>
        </w:rPr>
        <w:t>pecíficamente en el Capítulo II</w:t>
      </w:r>
      <w:r>
        <w:rPr>
          <w:rFonts w:ascii="Palatino Linotype" w:hAnsi="Palatino Linotype" w:cs="Arial"/>
        </w:rPr>
        <w:t xml:space="preserve"> denominado “Del Recurso de Inconformidad ante el Instituto”, el cual, nos hace mención de las instancias ante las cuales se podrá interponer el recurso de inconformidad y los supuestos legales en los que procede, tal y como se aprecia a continuación: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“</w:t>
      </w:r>
      <w:r w:rsidRPr="00F629E6">
        <w:rPr>
          <w:rFonts w:ascii="Palatino Linotype" w:hAnsi="Palatino Linotype"/>
          <w:b/>
          <w:i/>
          <w:sz w:val="22"/>
          <w:szCs w:val="22"/>
        </w:rPr>
        <w:t>Artículo 159</w:t>
      </w:r>
      <w:r w:rsidRPr="00F629E6">
        <w:rPr>
          <w:rFonts w:ascii="Palatino Linotype" w:hAnsi="Palatino Linotype"/>
          <w:i/>
          <w:sz w:val="22"/>
          <w:szCs w:val="22"/>
        </w:rPr>
        <w:t>. Tratándose de las resoluciones a los recursos de revisión de los Organismos garantes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de las Entidades Federativas, los particulares podrán optar por acudir ante el Instituto o ante el Poder</w:t>
      </w:r>
      <w:r>
        <w:rPr>
          <w:rFonts w:ascii="Palatino Linotype" w:hAnsi="Palatino Linotype"/>
          <w:i/>
          <w:sz w:val="22"/>
          <w:szCs w:val="22"/>
        </w:rPr>
        <w:t xml:space="preserve"> </w:t>
      </w:r>
      <w:r w:rsidRPr="00F629E6">
        <w:rPr>
          <w:rFonts w:ascii="Palatino Linotype" w:hAnsi="Palatino Linotype"/>
          <w:i/>
          <w:sz w:val="22"/>
          <w:szCs w:val="22"/>
        </w:rPr>
        <w:t>Judicial de la Federación.</w:t>
      </w: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F629E6">
        <w:rPr>
          <w:rFonts w:ascii="Palatino Linotype" w:hAnsi="Palatino Linotype"/>
          <w:b/>
          <w:i/>
          <w:sz w:val="22"/>
          <w:szCs w:val="22"/>
        </w:rPr>
        <w:t>Artículo 160</w:t>
      </w:r>
      <w:r w:rsidRPr="00D642EC">
        <w:rPr>
          <w:rFonts w:ascii="Palatino Linotype" w:hAnsi="Palatino Linotype"/>
          <w:i/>
          <w:sz w:val="22"/>
          <w:szCs w:val="22"/>
        </w:rPr>
        <w:t>. El recurso de inconformidad procede contra las resoluciones emitidas por los Organismos garantes de las Entidades Federativas que:</w:t>
      </w:r>
    </w:p>
    <w:p w:rsidR="00F44407" w:rsidRPr="00D642EC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Pr="000D1731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I.</w:t>
      </w:r>
      <w:r w:rsidRPr="00D642EC">
        <w:rPr>
          <w:rFonts w:ascii="Palatino Linotype" w:hAnsi="Palatino Linotype"/>
          <w:i/>
          <w:sz w:val="22"/>
          <w:szCs w:val="22"/>
        </w:rPr>
        <w:tab/>
      </w:r>
      <w:r w:rsidRPr="000D1731">
        <w:rPr>
          <w:rFonts w:ascii="Palatino Linotype" w:hAnsi="Palatino Linotype"/>
          <w:i/>
          <w:sz w:val="22"/>
          <w:szCs w:val="22"/>
        </w:rPr>
        <w:t>Confirmen o modifiquen la clasificación de la información, o</w:t>
      </w:r>
    </w:p>
    <w:p w:rsidR="00F44407" w:rsidRPr="00F629E6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  <w:u w:val="single"/>
        </w:rPr>
      </w:pPr>
      <w:r w:rsidRPr="000D1731">
        <w:rPr>
          <w:rFonts w:ascii="Palatino Linotype" w:hAnsi="Palatino Linotype"/>
          <w:i/>
          <w:sz w:val="22"/>
          <w:szCs w:val="22"/>
        </w:rPr>
        <w:t>II.</w:t>
      </w:r>
      <w:r w:rsidRPr="000D1731">
        <w:rPr>
          <w:rFonts w:ascii="Palatino Linotype" w:hAnsi="Palatino Linotype"/>
          <w:i/>
          <w:sz w:val="22"/>
          <w:szCs w:val="22"/>
        </w:rPr>
        <w:tab/>
        <w:t>Confirmen la inexistencia o negativa de información</w:t>
      </w:r>
      <w:r w:rsidRPr="00F629E6">
        <w:rPr>
          <w:rFonts w:ascii="Palatino Linotype" w:hAnsi="Palatino Linotype"/>
          <w:i/>
          <w:sz w:val="22"/>
          <w:szCs w:val="22"/>
          <w:u w:val="single"/>
        </w:rPr>
        <w:t>.</w:t>
      </w: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ind w:left="709" w:right="757"/>
        <w:jc w:val="both"/>
        <w:rPr>
          <w:rFonts w:ascii="Palatino Linotype" w:hAnsi="Palatino Linotype"/>
          <w:i/>
          <w:sz w:val="22"/>
          <w:szCs w:val="22"/>
        </w:rPr>
      </w:pPr>
      <w:r w:rsidRPr="00D642EC">
        <w:rPr>
          <w:rFonts w:ascii="Palatino Linotype" w:hAnsi="Palatino Linotype"/>
          <w:i/>
          <w:sz w:val="22"/>
          <w:szCs w:val="22"/>
        </w:rPr>
        <w:t>Se entenderá como negativa de acceso a la información la falta de resolución de los Organismos garantes de las Entidades Federativas dentro del plazo previsto para ello.”</w:t>
      </w:r>
    </w:p>
    <w:p w:rsidR="00F44407" w:rsidRDefault="00F44407" w:rsidP="00F44407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Pr="00D642EC" w:rsidRDefault="00F44407" w:rsidP="00F44407">
      <w:pPr>
        <w:spacing w:line="276" w:lineRule="auto"/>
        <w:ind w:left="851" w:right="49"/>
        <w:jc w:val="both"/>
        <w:rPr>
          <w:rFonts w:ascii="Palatino Linotype" w:hAnsi="Palatino Linotype"/>
          <w:i/>
          <w:sz w:val="22"/>
          <w:szCs w:val="22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De lo anterior, se advierte que</w:t>
      </w:r>
      <w:r w:rsidR="0084457B">
        <w:rPr>
          <w:rFonts w:ascii="Palatino Linotype" w:hAnsi="Palatino Linotype" w:cs="Arial"/>
        </w:rPr>
        <w:t xml:space="preserve"> los</w:t>
      </w:r>
      <w:r w:rsidR="009E0C3D">
        <w:rPr>
          <w:rFonts w:ascii="Palatino Linotype" w:hAnsi="Palatino Linotype" w:cs="Arial"/>
        </w:rPr>
        <w:t xml:space="preserve"> artículo</w:t>
      </w:r>
      <w:r w:rsidR="0084457B">
        <w:rPr>
          <w:rFonts w:ascii="Palatino Linotype" w:hAnsi="Palatino Linotype" w:cs="Arial"/>
        </w:rPr>
        <w:t>s</w:t>
      </w:r>
      <w:r w:rsidR="009E0C3D">
        <w:rPr>
          <w:rFonts w:ascii="Palatino Linotype" w:hAnsi="Palatino Linotype" w:cs="Arial"/>
        </w:rPr>
        <w:t xml:space="preserve"> en cita </w:t>
      </w:r>
      <w:r>
        <w:rPr>
          <w:rFonts w:ascii="Palatino Linotype" w:hAnsi="Palatino Linotype" w:cs="Arial"/>
        </w:rPr>
        <w:t xml:space="preserve"> resulta</w:t>
      </w:r>
      <w:r w:rsidR="0084457B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aplicable</w:t>
      </w:r>
      <w:r w:rsidR="0084457B">
        <w:rPr>
          <w:rFonts w:ascii="Palatino Linotype" w:hAnsi="Palatino Linotype" w:cs="Arial"/>
        </w:rPr>
        <w:t>s</w:t>
      </w:r>
      <w:r>
        <w:rPr>
          <w:rFonts w:ascii="Palatino Linotype" w:hAnsi="Palatino Linotype" w:cs="Arial"/>
        </w:rPr>
        <w:t xml:space="preserve"> al asunto en concreto, toda vez que </w:t>
      </w:r>
      <w:r w:rsidR="0084457B">
        <w:rPr>
          <w:rFonts w:ascii="Palatino Linotype" w:hAnsi="Palatino Linotype" w:cs="Arial"/>
        </w:rPr>
        <w:t xml:space="preserve">Ponencia </w:t>
      </w:r>
      <w:proofErr w:type="spellStart"/>
      <w:r w:rsidR="0084457B">
        <w:rPr>
          <w:rFonts w:ascii="Palatino Linotype" w:hAnsi="Palatino Linotype" w:cs="Arial"/>
        </w:rPr>
        <w:t>Resolutora</w:t>
      </w:r>
      <w:proofErr w:type="spellEnd"/>
      <w:r w:rsidR="009E0C3D">
        <w:rPr>
          <w:rFonts w:ascii="Palatino Linotype" w:hAnsi="Palatino Linotype" w:cs="Arial"/>
        </w:rPr>
        <w:t>,</w:t>
      </w:r>
      <w:r>
        <w:rPr>
          <w:rFonts w:ascii="Palatino Linotype" w:hAnsi="Palatino Linotype" w:cs="Arial"/>
        </w:rPr>
        <w:t xml:space="preserve"> confirmó </w:t>
      </w:r>
      <w:r w:rsidR="0084457B">
        <w:rPr>
          <w:rFonts w:ascii="Palatino Linotype" w:hAnsi="Palatino Linotype" w:cs="Arial"/>
        </w:rPr>
        <w:t xml:space="preserve">el Acuerdo de </w:t>
      </w:r>
      <w:r w:rsidR="00251C7D">
        <w:rPr>
          <w:rFonts w:ascii="Palatino Linotype" w:hAnsi="Palatino Linotype" w:cs="Arial"/>
        </w:rPr>
        <w:t>clasificación</w:t>
      </w:r>
      <w:r>
        <w:rPr>
          <w:rFonts w:ascii="Palatino Linotype" w:hAnsi="Palatino Linotype" w:cs="Arial"/>
        </w:rPr>
        <w:t xml:space="preserve"> de la información; </w:t>
      </w:r>
      <w:r w:rsidR="0084457B">
        <w:rPr>
          <w:rFonts w:ascii="Palatino Linotype" w:hAnsi="Palatino Linotype" w:cs="Arial"/>
        </w:rPr>
        <w:t xml:space="preserve">aprobado por </w:t>
      </w:r>
      <w:r w:rsidR="0084457B" w:rsidRPr="0084457B">
        <w:rPr>
          <w:rFonts w:ascii="Palatino Linotype" w:hAnsi="Palatino Linotype" w:cs="Arial"/>
          <w:b/>
        </w:rPr>
        <w:t xml:space="preserve">EL SUJETO OBLIGADO </w:t>
      </w:r>
      <w:r w:rsidR="0084457B">
        <w:rPr>
          <w:rFonts w:ascii="Palatino Linotype" w:hAnsi="Palatino Linotype" w:cs="Arial"/>
        </w:rPr>
        <w:t>a través del Comité de Transparencia.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 xml:space="preserve">Para mayor claridad de lo aducido, se debe establecer que para confirmar o modificar la clasificación de la información, primero, </w:t>
      </w:r>
      <w:r w:rsidRPr="00772978">
        <w:rPr>
          <w:rFonts w:ascii="Palatino Linotype" w:hAnsi="Palatino Linotype" w:cs="Arial"/>
          <w:b/>
        </w:rPr>
        <w:t>EL SUJETO OBLIGADO</w:t>
      </w:r>
      <w:r w:rsidR="009E0C3D">
        <w:rPr>
          <w:rFonts w:ascii="Palatino Linotype" w:hAnsi="Palatino Linotype" w:cs="Arial"/>
        </w:rPr>
        <w:t xml:space="preserve"> debe</w:t>
      </w:r>
      <w:r>
        <w:rPr>
          <w:rFonts w:ascii="Palatino Linotype" w:hAnsi="Palatino Linotype" w:cs="Arial"/>
        </w:rPr>
        <w:t xml:space="preserve"> haber remitido el Acuerdo del Comité de Transparencia en virtud del cual se </w:t>
      </w:r>
      <w:r w:rsidR="008D53CF">
        <w:rPr>
          <w:rFonts w:ascii="Palatino Linotype" w:hAnsi="Palatino Linotype" w:cs="Arial"/>
        </w:rPr>
        <w:t xml:space="preserve">determine la </w:t>
      </w:r>
      <w:r w:rsidR="00251C7D">
        <w:rPr>
          <w:rFonts w:ascii="Palatino Linotype" w:hAnsi="Palatino Linotype" w:cs="Arial"/>
        </w:rPr>
        <w:t>clasificación de la información</w:t>
      </w:r>
      <w:r w:rsidR="006B0B04">
        <w:rPr>
          <w:rFonts w:ascii="Palatino Linotype" w:hAnsi="Palatino Linotype" w:cs="Arial"/>
        </w:rPr>
        <w:t xml:space="preserve">, situación que se advierte dentro del expediente electrónico del SAIMEX, toda vez que efectivamente </w:t>
      </w:r>
      <w:r w:rsidR="006B0B04" w:rsidRPr="006B0B04">
        <w:rPr>
          <w:rFonts w:ascii="Palatino Linotype" w:hAnsi="Palatino Linotype" w:cs="Arial"/>
          <w:b/>
        </w:rPr>
        <w:t>EL SUJETO OBLIGADO</w:t>
      </w:r>
      <w:r w:rsidR="006B0B04">
        <w:rPr>
          <w:rFonts w:ascii="Palatino Linotype" w:hAnsi="Palatino Linotype" w:cs="Arial"/>
        </w:rPr>
        <w:t xml:space="preserve"> remitió </w:t>
      </w:r>
      <w:r w:rsidR="003C7F08">
        <w:rPr>
          <w:rFonts w:ascii="Palatino Linotype" w:hAnsi="Palatino Linotype"/>
        </w:rPr>
        <w:t xml:space="preserve">el Acuerdo de Clasificación Confidencial </w:t>
      </w:r>
      <w:r w:rsidR="003C7F08" w:rsidRPr="00D806E1">
        <w:rPr>
          <w:rFonts w:ascii="Palatino Linotype" w:hAnsi="Palatino Linotype"/>
          <w:b/>
        </w:rPr>
        <w:t>IEEM/CT/242/2018</w:t>
      </w:r>
      <w:r w:rsidR="003C7F08" w:rsidRPr="00154AAE">
        <w:rPr>
          <w:rFonts w:ascii="Palatino Linotype" w:hAnsi="Palatino Linotype"/>
        </w:rPr>
        <w:t>, el cual fue emitido</w:t>
      </w:r>
      <w:r w:rsidR="003C7F08">
        <w:rPr>
          <w:rFonts w:ascii="Palatino Linotype" w:hAnsi="Palatino Linotype"/>
        </w:rPr>
        <w:t xml:space="preserve"> y aprobado  en la Tercera Sesión Ordinaria </w:t>
      </w:r>
      <w:r w:rsidR="003C7F08" w:rsidRPr="00154AAE">
        <w:rPr>
          <w:rFonts w:ascii="Palatino Linotype" w:hAnsi="Palatino Linotype"/>
        </w:rPr>
        <w:t xml:space="preserve">por </w:t>
      </w:r>
      <w:r w:rsidR="003C7F08">
        <w:rPr>
          <w:rFonts w:ascii="Palatino Linotype" w:hAnsi="Palatino Linotype"/>
        </w:rPr>
        <w:t xml:space="preserve">el </w:t>
      </w:r>
      <w:r w:rsidR="003C7F08" w:rsidRPr="00154AAE">
        <w:rPr>
          <w:rFonts w:ascii="Palatino Linotype" w:hAnsi="Palatino Linotype"/>
        </w:rPr>
        <w:t>Comité de Transparencia competente</w:t>
      </w:r>
      <w:r w:rsidR="003C7F08">
        <w:rPr>
          <w:rFonts w:ascii="Palatino Linotype" w:hAnsi="Palatino Linotype"/>
        </w:rPr>
        <w:t>, documento que contiene la motivación y fundamentación pertinente que sustenta la supresión de los datos personales contenidos en las declaraciones patrimoniales y de intereses de la servidora pública multicitada.</w:t>
      </w:r>
    </w:p>
    <w:p w:rsidR="00F44407" w:rsidRDefault="00F44407" w:rsidP="00F44407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</w:p>
    <w:p w:rsidR="00C17C49" w:rsidRPr="00C17C49" w:rsidRDefault="00F44407" w:rsidP="00C17C49">
      <w:pPr>
        <w:widowControl w:val="0"/>
        <w:autoSpaceDE w:val="0"/>
        <w:autoSpaceDN w:val="0"/>
        <w:adjustRightInd w:val="0"/>
        <w:spacing w:line="360" w:lineRule="auto"/>
        <w:ind w:right="49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</w:rPr>
        <w:t>En conclusión</w:t>
      </w:r>
      <w:r w:rsidR="00251C7D">
        <w:rPr>
          <w:rFonts w:ascii="Palatino Linotype" w:hAnsi="Palatino Linotype" w:cs="Arial"/>
        </w:rPr>
        <w:t>, la que suscribe</w:t>
      </w:r>
      <w:r>
        <w:rPr>
          <w:rFonts w:ascii="Palatino Linotype" w:hAnsi="Palatino Linotype" w:cs="Arial"/>
        </w:rPr>
        <w:t xml:space="preserve"> emite</w:t>
      </w:r>
      <w:r w:rsidR="003A78C6">
        <w:rPr>
          <w:rFonts w:ascii="Palatino Linotype" w:hAnsi="Palatino Linotype" w:cs="Arial"/>
        </w:rPr>
        <w:t>n</w:t>
      </w:r>
      <w:r>
        <w:rPr>
          <w:rFonts w:ascii="Palatino Linotype" w:hAnsi="Palatino Linotype" w:cs="Arial"/>
        </w:rPr>
        <w:t xml:space="preserve"> </w:t>
      </w:r>
      <w:r w:rsidRPr="00BB18A2">
        <w:rPr>
          <w:rFonts w:ascii="Palatino Linotype" w:hAnsi="Palatino Linotype" w:cs="Arial"/>
          <w:b/>
        </w:rPr>
        <w:t>VOTO PARTICULAR</w:t>
      </w:r>
      <w:r>
        <w:rPr>
          <w:rFonts w:ascii="Palatino Linotype" w:hAnsi="Palatino Linotype" w:cs="Arial"/>
        </w:rPr>
        <w:t xml:space="preserve"> </w:t>
      </w:r>
      <w:r w:rsidR="00251C7D">
        <w:rPr>
          <w:rFonts w:ascii="Palatino Linotype" w:hAnsi="Palatino Linotype" w:cs="Arial"/>
        </w:rPr>
        <w:t>ya que considero</w:t>
      </w:r>
      <w:r>
        <w:rPr>
          <w:rFonts w:ascii="Palatino Linotype" w:hAnsi="Palatino Linotype" w:cs="Arial"/>
        </w:rPr>
        <w:t xml:space="preserve"> que se debieron invocar dichos artículos en </w:t>
      </w:r>
      <w:r w:rsidR="006B0B04">
        <w:rPr>
          <w:rFonts w:ascii="Palatino Linotype" w:hAnsi="Palatino Linotype" w:cs="Arial"/>
        </w:rPr>
        <w:t>los resolutivos</w:t>
      </w:r>
      <w:r>
        <w:rPr>
          <w:rFonts w:ascii="Palatino Linotype" w:hAnsi="Palatino Linotype" w:cs="Arial"/>
        </w:rPr>
        <w:t xml:space="preserve"> de la resolución de mérito</w:t>
      </w:r>
      <w:r w:rsidR="008D53CF">
        <w:rPr>
          <w:rFonts w:ascii="Palatino Linotype" w:hAnsi="Palatino Linotype" w:cs="Arial"/>
        </w:rPr>
        <w:t xml:space="preserve"> al ser procedentes</w:t>
      </w:r>
      <w:r>
        <w:rPr>
          <w:rFonts w:ascii="Palatino Linotype" w:hAnsi="Palatino Linotype" w:cs="Arial"/>
        </w:rPr>
        <w:t>;</w:t>
      </w:r>
      <w:r>
        <w:rPr>
          <w:rFonts w:ascii="Palatino Linotype" w:hAnsi="Palatino Linotype"/>
        </w:rPr>
        <w:t xml:space="preserve"> por lo que, </w:t>
      </w:r>
      <w:r>
        <w:rPr>
          <w:rFonts w:ascii="Palatino Linotype" w:hAnsi="Palatino Linotype" w:cs="Arial"/>
        </w:rPr>
        <w:t xml:space="preserve">se insiste, que de las constancias del expediente </w:t>
      </w:r>
      <w:r w:rsidR="006B0B04">
        <w:rPr>
          <w:rFonts w:ascii="Palatino Linotype" w:hAnsi="Palatino Linotype" w:cs="Arial"/>
        </w:rPr>
        <w:t>se advierten actos que encuadra</w:t>
      </w:r>
      <w:r>
        <w:rPr>
          <w:rFonts w:ascii="Palatino Linotype" w:hAnsi="Palatino Linotype" w:cs="Arial"/>
        </w:rPr>
        <w:t xml:space="preserve">n en los supuestos legales señalados en los numerales </w:t>
      </w:r>
      <w:r w:rsidRPr="00DF304A">
        <w:rPr>
          <w:rFonts w:ascii="Palatino Linotype" w:hAnsi="Palatino Linotype" w:cs="Arial"/>
        </w:rPr>
        <w:t>159 y 160 de la Ley General de Transparencia y Acceso a la Información Pública</w:t>
      </w:r>
      <w:r w:rsidR="008D53CF">
        <w:rPr>
          <w:rFonts w:ascii="Palatino Linotype" w:hAnsi="Palatino Linotype" w:cs="Arial"/>
        </w:rPr>
        <w:t>, en atención a los principios inmersos en el artículo 9 de la Ley de Transparencia y Acceso a la Información Pública del Estado de México y Municipios</w:t>
      </w:r>
      <w:r w:rsidR="00251C7D">
        <w:rPr>
          <w:rFonts w:ascii="Palatino Linotype" w:hAnsi="Palatino Linotype" w:cs="Arial"/>
        </w:rPr>
        <w:t xml:space="preserve"> y en atención a los principios de exhaustividad y congruencia.</w:t>
      </w:r>
    </w:p>
    <w:tbl>
      <w:tblPr>
        <w:tblStyle w:val="Tablaconcuadrcula"/>
        <w:tblpPr w:leftFromText="141" w:rightFromText="141" w:vertAnchor="page" w:horzAnchor="page" w:tblpXSpec="center" w:tblpY="679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3"/>
      </w:tblGrid>
      <w:tr w:rsidR="003C7F08" w:rsidTr="00466B5B">
        <w:trPr>
          <w:trHeight w:val="303"/>
        </w:trPr>
        <w:tc>
          <w:tcPr>
            <w:tcW w:w="3383" w:type="dxa"/>
          </w:tcPr>
          <w:p w:rsidR="00C17C49" w:rsidRDefault="00C17C49" w:rsidP="00C17C49">
            <w:pPr>
              <w:spacing w:before="100" w:beforeAutospacing="1" w:after="100" w:afterAutospacing="1"/>
              <w:ind w:left="318" w:right="-227"/>
              <w:rPr>
                <w:rFonts w:ascii="Palatino Linotype" w:hAnsi="Palatino Linotype" w:cs="Arial"/>
                <w:b/>
              </w:rPr>
            </w:pPr>
          </w:p>
          <w:p w:rsidR="00C17C49" w:rsidRDefault="00C17C49" w:rsidP="00C17C49">
            <w:pPr>
              <w:spacing w:before="100" w:beforeAutospacing="1" w:after="100" w:afterAutospacing="1"/>
              <w:ind w:left="318" w:right="-227"/>
              <w:rPr>
                <w:rFonts w:ascii="Palatino Linotype" w:hAnsi="Palatino Linotype" w:cs="Arial"/>
                <w:b/>
              </w:rPr>
            </w:pPr>
          </w:p>
          <w:p w:rsidR="00C17C49" w:rsidRDefault="00C17C49" w:rsidP="00C17C49">
            <w:pPr>
              <w:spacing w:before="100" w:beforeAutospacing="1" w:after="100" w:afterAutospacing="1"/>
              <w:ind w:left="318" w:right="-227"/>
              <w:rPr>
                <w:rFonts w:ascii="Palatino Linotype" w:hAnsi="Palatino Linotype" w:cs="Arial"/>
                <w:b/>
              </w:rPr>
            </w:pPr>
          </w:p>
          <w:p w:rsidR="00C17C49" w:rsidRDefault="00C17C49" w:rsidP="00C17C49">
            <w:pPr>
              <w:spacing w:before="100" w:beforeAutospacing="1" w:after="100" w:afterAutospacing="1"/>
              <w:ind w:left="318" w:right="-227"/>
              <w:rPr>
                <w:rFonts w:ascii="Palatino Linotype" w:hAnsi="Palatino Linotype" w:cs="Arial"/>
                <w:b/>
              </w:rPr>
            </w:pPr>
            <w:bookmarkStart w:id="0" w:name="_GoBack"/>
            <w:bookmarkEnd w:id="0"/>
          </w:p>
          <w:p w:rsidR="00C17C49" w:rsidRDefault="00C17C49" w:rsidP="00C17C49">
            <w:pPr>
              <w:spacing w:before="100" w:beforeAutospacing="1" w:after="100" w:afterAutospacing="1"/>
              <w:ind w:left="318" w:right="-227"/>
              <w:rPr>
                <w:rFonts w:ascii="Palatino Linotype" w:hAnsi="Palatino Linotype" w:cs="Arial"/>
                <w:b/>
              </w:rPr>
            </w:pPr>
          </w:p>
          <w:p w:rsidR="003C7F08" w:rsidRPr="00457590" w:rsidRDefault="003C7F08" w:rsidP="00C17C49">
            <w:pPr>
              <w:spacing w:before="100" w:beforeAutospacing="1" w:after="100" w:afterAutospacing="1"/>
              <w:ind w:left="318" w:right="-227"/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</w:t>
            </w:r>
            <w:r w:rsidRPr="0061470D">
              <w:rPr>
                <w:rFonts w:ascii="Palatino Linotype" w:hAnsi="Palatino Linotype" w:cs="Arial"/>
                <w:b/>
              </w:rPr>
              <w:t>EVA ABAID YAPUR</w:t>
            </w:r>
            <w:r w:rsidR="00C17C49">
              <w:rPr>
                <w:rFonts w:ascii="Palatino Linotype" w:hAnsi="Palatino Linotype" w:cs="Arial"/>
                <w:b/>
              </w:rPr>
              <w:t xml:space="preserve"> </w:t>
            </w:r>
          </w:p>
        </w:tc>
      </w:tr>
      <w:tr w:rsidR="003C7F08" w:rsidTr="00466B5B">
        <w:trPr>
          <w:trHeight w:val="289"/>
        </w:trPr>
        <w:tc>
          <w:tcPr>
            <w:tcW w:w="3383" w:type="dxa"/>
          </w:tcPr>
          <w:p w:rsidR="00466B5B" w:rsidRDefault="003C7F08" w:rsidP="00466B5B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 </w:t>
            </w:r>
            <w:r w:rsidR="00C17C49">
              <w:rPr>
                <w:rFonts w:ascii="Palatino Linotype" w:hAnsi="Palatino Linotype" w:cs="Arial"/>
                <w:b/>
              </w:rPr>
              <w:t xml:space="preserve">     </w:t>
            </w:r>
            <w:r>
              <w:rPr>
                <w:rFonts w:ascii="Palatino Linotype" w:hAnsi="Palatino Linotype" w:cs="Arial"/>
                <w:b/>
              </w:rPr>
              <w:t xml:space="preserve">  </w:t>
            </w:r>
            <w:r w:rsidR="00466B5B">
              <w:rPr>
                <w:rFonts w:ascii="Palatino Linotype" w:hAnsi="Palatino Linotype" w:cs="Arial"/>
                <w:b/>
              </w:rPr>
              <w:t>COMISIONADA</w:t>
            </w:r>
          </w:p>
          <w:p w:rsidR="003C7F08" w:rsidRDefault="00466B5B" w:rsidP="00466B5B">
            <w:pPr>
              <w:rPr>
                <w:rFonts w:ascii="Palatino Linotype" w:hAnsi="Palatino Linotype" w:cs="Arial"/>
                <w:b/>
              </w:rPr>
            </w:pPr>
            <w:r>
              <w:rPr>
                <w:rFonts w:ascii="Palatino Linotype" w:hAnsi="Palatino Linotype" w:cs="Arial"/>
                <w:b/>
              </w:rPr>
              <w:t xml:space="preserve">                    (RÚBRICA)</w:t>
            </w:r>
          </w:p>
          <w:p w:rsidR="00466B5B" w:rsidRPr="00457590" w:rsidRDefault="00466B5B" w:rsidP="003C7F08">
            <w:pPr>
              <w:spacing w:before="100" w:beforeAutospacing="1" w:after="100" w:afterAutospacing="1"/>
              <w:rPr>
                <w:rFonts w:ascii="Palatino Linotype" w:hAnsi="Palatino Linotype" w:cs="Arial"/>
                <w:b/>
              </w:rPr>
            </w:pPr>
          </w:p>
        </w:tc>
      </w:tr>
    </w:tbl>
    <w:p w:rsidR="003A78C6" w:rsidRDefault="003A78C6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A78C6" w:rsidRDefault="003A78C6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D53CF" w:rsidRDefault="008D53CF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D53CF" w:rsidRDefault="008D53CF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D53CF" w:rsidRDefault="008D53CF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8D53CF" w:rsidRDefault="008D53CF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C7F08" w:rsidRDefault="003C7F08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3C7F08" w:rsidRDefault="003C7F08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17C49" w:rsidRDefault="00C17C49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17C49" w:rsidRDefault="00C17C49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17C49" w:rsidRDefault="00C17C49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C17C49" w:rsidRDefault="00C17C49" w:rsidP="00707F8E">
      <w:pPr>
        <w:spacing w:before="100" w:beforeAutospacing="1" w:after="100" w:afterAutospacing="1"/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6B5B" w:rsidRDefault="00466B5B" w:rsidP="00C17C4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6B5B" w:rsidRDefault="00466B5B" w:rsidP="00C17C4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466B5B" w:rsidRDefault="00466B5B" w:rsidP="00C17C4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</w:p>
    <w:p w:rsidR="00B95DD2" w:rsidRDefault="00EA0E3A" w:rsidP="00C17C49">
      <w:pPr>
        <w:jc w:val="both"/>
        <w:rPr>
          <w:rFonts w:ascii="Palatino Linotype" w:eastAsia="Calibri" w:hAnsi="Palatino Linotype" w:cs="Arial"/>
          <w:color w:val="000000" w:themeColor="text1"/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E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sta hoja corresponde al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voto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particular</w:t>
      </w:r>
      <w:r w:rsidR="00C17C4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>emitid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en 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>la resolución de</w:t>
      </w:r>
      <w:r w:rsidR="00B95DD2">
        <w:rPr>
          <w:rFonts w:ascii="Palatino Linotype" w:eastAsia="Calibri" w:hAnsi="Palatino Linotype" w:cs="Arial"/>
          <w:color w:val="000000" w:themeColor="text1"/>
          <w:sz w:val="20"/>
          <w:szCs w:val="20"/>
        </w:rPr>
        <w:t>l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recurso de revisión </w:t>
      </w:r>
      <w:r w:rsidR="003C7F08">
        <w:rPr>
          <w:rFonts w:ascii="Palatino Linotype" w:eastAsia="Calibri" w:hAnsi="Palatino Linotype" w:cs="Arial"/>
          <w:color w:val="000000" w:themeColor="text1"/>
          <w:sz w:val="20"/>
          <w:szCs w:val="20"/>
        </w:rPr>
        <w:t>03016</w:t>
      </w:r>
      <w:r w:rsidR="00846499">
        <w:rPr>
          <w:rFonts w:ascii="Palatino Linotype" w:eastAsia="Calibri" w:hAnsi="Palatino Linotype" w:cs="Arial"/>
          <w:color w:val="000000" w:themeColor="text1"/>
          <w:sz w:val="20"/>
          <w:szCs w:val="20"/>
        </w:rPr>
        <w:t>/INFOEM/IP/RR/2018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aprobad</w:t>
      </w:r>
      <w:r w:rsidR="00C17C49">
        <w:rPr>
          <w:rFonts w:ascii="Palatino Linotype" w:eastAsia="Calibri" w:hAnsi="Palatino Linotype" w:cs="Arial"/>
          <w:color w:val="000000" w:themeColor="text1"/>
          <w:sz w:val="20"/>
          <w:szCs w:val="20"/>
        </w:rPr>
        <w:t>o</w:t>
      </w:r>
      <w:r w:rsidR="003A78C6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el </w:t>
      </w:r>
      <w:r w:rsidR="003C7F08">
        <w:rPr>
          <w:rFonts w:ascii="Palatino Linotype" w:eastAsia="Calibri" w:hAnsi="Palatino Linotype" w:cs="Arial"/>
          <w:color w:val="000000" w:themeColor="text1"/>
          <w:sz w:val="20"/>
          <w:szCs w:val="20"/>
        </w:rPr>
        <w:t>treinta y uno de octubre</w:t>
      </w:r>
      <w:r w:rsidR="007617DE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de dos mil dieciocho</w:t>
      </w:r>
      <w:r w:rsidR="007617DE" w:rsidRPr="002E787A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. </w:t>
      </w:r>
    </w:p>
    <w:p w:rsidR="00C17C49" w:rsidRPr="00C17C49" w:rsidRDefault="00C17C49" w:rsidP="00C17C49">
      <w:pPr>
        <w:jc w:val="both"/>
        <w:rPr>
          <w:rFonts w:ascii="Palatino Linotype" w:eastAsia="Calibri" w:hAnsi="Palatino Linotype" w:cs="Arial"/>
          <w:color w:val="000000" w:themeColor="text1"/>
          <w:sz w:val="8"/>
          <w:szCs w:val="20"/>
        </w:rPr>
      </w:pPr>
    </w:p>
    <w:p w:rsidR="00A517EA" w:rsidRPr="006D731E" w:rsidRDefault="003C7F08" w:rsidP="00C17C49">
      <w:pPr>
        <w:jc w:val="both"/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8D53CF">
        <w:rPr>
          <w:rFonts w:ascii="Palatino Linotype" w:eastAsia="Calibri" w:hAnsi="Palatino Linotype" w:cs="Arial"/>
          <w:color w:val="000000" w:themeColor="text1"/>
          <w:sz w:val="20"/>
          <w:szCs w:val="20"/>
        </w:rPr>
        <w:t>/EJCA</w:t>
      </w:r>
    </w:p>
    <w:sectPr w:rsidR="00A517EA" w:rsidRPr="006D731E" w:rsidSect="006D731E">
      <w:headerReference w:type="default" r:id="rId7"/>
      <w:footerReference w:type="default" r:id="rId8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6668" w:rsidRDefault="00A96668" w:rsidP="00DB3A83">
      <w:r>
        <w:separator/>
      </w:r>
    </w:p>
  </w:endnote>
  <w:endnote w:type="continuationSeparator" w:id="0">
    <w:p w:rsidR="00A96668" w:rsidRDefault="00A96668" w:rsidP="00DB3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2FB" w:rsidRDefault="00466B5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466B5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3056D9" w:rsidRDefault="00466B5B" w:rsidP="003056D9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:rsidR="00455CB3" w:rsidRDefault="00466B5B" w:rsidP="000E2B1A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:rsidR="003056D9" w:rsidRPr="00F12350" w:rsidRDefault="00B756DB" w:rsidP="003056D9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66B5B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466B5B">
      <w:rPr>
        <w:rFonts w:ascii="Palatino Linotype" w:hAnsi="Palatino Linotype" w:cs="Arial"/>
        <w:b/>
        <w:bCs/>
        <w:noProof/>
        <w:sz w:val="20"/>
        <w:szCs w:val="20"/>
      </w:rPr>
      <w:t>5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:rsidR="006F30F8" w:rsidRDefault="00466B5B" w:rsidP="006F30F8">
    <w:pPr>
      <w:pStyle w:val="Piedepgina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6668" w:rsidRDefault="00A96668" w:rsidP="00DB3A83">
      <w:r>
        <w:separator/>
      </w:r>
    </w:p>
  </w:footnote>
  <w:footnote w:type="continuationSeparator" w:id="0">
    <w:p w:rsidR="00A96668" w:rsidRDefault="00A96668" w:rsidP="00DB3A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309A" w:rsidRDefault="00823404" w:rsidP="0034309A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7216" behindDoc="1" locked="0" layoutInCell="1" allowOverlap="1" wp14:anchorId="2CC6FAC8" wp14:editId="688F8639">
          <wp:simplePos x="0" y="0"/>
          <wp:positionH relativeFrom="column">
            <wp:posOffset>-711835</wp:posOffset>
          </wp:positionH>
          <wp:positionV relativeFrom="paragraph">
            <wp:posOffset>-421640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498417712"/>
        <w:docPartObj>
          <w:docPartGallery w:val="Watermarks"/>
          <w:docPartUnique/>
        </w:docPartObj>
      </w:sdtPr>
      <w:sdtEndPr/>
      <w:sdtContent/>
    </w:sdt>
  </w:p>
  <w:p w:rsidR="00125D2F" w:rsidRDefault="00466B5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125D2F" w:rsidRDefault="00466B5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:rsidR="0034309A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  <w:r w:rsidR="00AE03F1">
      <w:rPr>
        <w:rFonts w:ascii="Palatino Linotype" w:hAnsi="Palatino Linotype" w:cs="Arial"/>
        <w:sz w:val="20"/>
        <w:szCs w:val="20"/>
      </w:rPr>
      <w:t xml:space="preserve"> </w:t>
    </w:r>
  </w:p>
  <w:p w:rsidR="00823404" w:rsidRDefault="00B756D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 w:rsidRPr="00706042">
      <w:rPr>
        <w:rFonts w:ascii="Palatino Linotype" w:hAnsi="Palatino Linotype" w:cs="Arial"/>
        <w:sz w:val="20"/>
        <w:szCs w:val="20"/>
      </w:rPr>
      <w:t xml:space="preserve">RECURSO DE REVISIÓN </w:t>
    </w:r>
    <w:r w:rsidR="00823404" w:rsidRPr="00823404">
      <w:rPr>
        <w:rFonts w:ascii="Palatino Linotype" w:hAnsi="Palatino Linotype" w:cs="Arial"/>
        <w:sz w:val="20"/>
        <w:szCs w:val="20"/>
      </w:rPr>
      <w:t>0</w:t>
    </w:r>
    <w:r w:rsidR="00A30614">
      <w:rPr>
        <w:rFonts w:ascii="Palatino Linotype" w:hAnsi="Palatino Linotype" w:cs="Arial"/>
        <w:sz w:val="20"/>
        <w:szCs w:val="20"/>
      </w:rPr>
      <w:t>3016</w:t>
    </w:r>
    <w:r w:rsidR="009C290A">
      <w:rPr>
        <w:rFonts w:ascii="Palatino Linotype" w:hAnsi="Palatino Linotype" w:cs="Arial"/>
        <w:sz w:val="20"/>
        <w:szCs w:val="20"/>
      </w:rPr>
      <w:t>/INFOEM/IP/RR/2018</w:t>
    </w:r>
    <w:r w:rsidR="00823404" w:rsidRPr="00823404">
      <w:rPr>
        <w:rFonts w:ascii="Palatino Linotype" w:hAnsi="Palatino Linotype" w:cs="Arial"/>
        <w:sz w:val="20"/>
        <w:szCs w:val="20"/>
      </w:rPr>
      <w:t xml:space="preserve"> </w:t>
    </w:r>
  </w:p>
  <w:p w:rsidR="00125D2F" w:rsidRDefault="00466B5B" w:rsidP="0034309A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18830" o:spid="_x0000_s2049" type="#_x0000_t136" style="position:absolute;left:0;text-align:left;margin-left:0;margin-top:0;width:689.15pt;height:77.2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40pt" string="VOTO PARTIC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035CB"/>
    <w:multiLevelType w:val="hybridMultilevel"/>
    <w:tmpl w:val="F5905F2C"/>
    <w:lvl w:ilvl="0" w:tplc="08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68A02F5"/>
    <w:multiLevelType w:val="hybridMultilevel"/>
    <w:tmpl w:val="AFD85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F0B38"/>
    <w:multiLevelType w:val="hybridMultilevel"/>
    <w:tmpl w:val="3328DE60"/>
    <w:lvl w:ilvl="0" w:tplc="582C17C4"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291533"/>
    <w:multiLevelType w:val="hybridMultilevel"/>
    <w:tmpl w:val="E9C49A98"/>
    <w:lvl w:ilvl="0" w:tplc="080A0017">
      <w:start w:val="1"/>
      <w:numFmt w:val="lowerLetter"/>
      <w:lvlText w:val="%1)"/>
      <w:lvlJc w:val="left"/>
      <w:pPr>
        <w:ind w:left="5606" w:hanging="360"/>
      </w:pPr>
    </w:lvl>
    <w:lvl w:ilvl="1" w:tplc="080A0019" w:tentative="1">
      <w:start w:val="1"/>
      <w:numFmt w:val="lowerLetter"/>
      <w:lvlText w:val="%2."/>
      <w:lvlJc w:val="left"/>
      <w:pPr>
        <w:ind w:left="6326" w:hanging="360"/>
      </w:pPr>
    </w:lvl>
    <w:lvl w:ilvl="2" w:tplc="080A001B" w:tentative="1">
      <w:start w:val="1"/>
      <w:numFmt w:val="lowerRoman"/>
      <w:lvlText w:val="%3."/>
      <w:lvlJc w:val="right"/>
      <w:pPr>
        <w:ind w:left="7046" w:hanging="180"/>
      </w:pPr>
    </w:lvl>
    <w:lvl w:ilvl="3" w:tplc="080A000F" w:tentative="1">
      <w:start w:val="1"/>
      <w:numFmt w:val="decimal"/>
      <w:lvlText w:val="%4."/>
      <w:lvlJc w:val="left"/>
      <w:pPr>
        <w:ind w:left="7766" w:hanging="360"/>
      </w:pPr>
    </w:lvl>
    <w:lvl w:ilvl="4" w:tplc="080A0019" w:tentative="1">
      <w:start w:val="1"/>
      <w:numFmt w:val="lowerLetter"/>
      <w:lvlText w:val="%5."/>
      <w:lvlJc w:val="left"/>
      <w:pPr>
        <w:ind w:left="8486" w:hanging="360"/>
      </w:pPr>
    </w:lvl>
    <w:lvl w:ilvl="5" w:tplc="080A001B" w:tentative="1">
      <w:start w:val="1"/>
      <w:numFmt w:val="lowerRoman"/>
      <w:lvlText w:val="%6."/>
      <w:lvlJc w:val="right"/>
      <w:pPr>
        <w:ind w:left="9206" w:hanging="180"/>
      </w:pPr>
    </w:lvl>
    <w:lvl w:ilvl="6" w:tplc="080A000F" w:tentative="1">
      <w:start w:val="1"/>
      <w:numFmt w:val="decimal"/>
      <w:lvlText w:val="%7."/>
      <w:lvlJc w:val="left"/>
      <w:pPr>
        <w:ind w:left="9926" w:hanging="360"/>
      </w:pPr>
    </w:lvl>
    <w:lvl w:ilvl="7" w:tplc="080A0019" w:tentative="1">
      <w:start w:val="1"/>
      <w:numFmt w:val="lowerLetter"/>
      <w:lvlText w:val="%8."/>
      <w:lvlJc w:val="left"/>
      <w:pPr>
        <w:ind w:left="10646" w:hanging="360"/>
      </w:pPr>
    </w:lvl>
    <w:lvl w:ilvl="8" w:tplc="080A001B" w:tentative="1">
      <w:start w:val="1"/>
      <w:numFmt w:val="lowerRoman"/>
      <w:lvlText w:val="%9."/>
      <w:lvlJc w:val="right"/>
      <w:pPr>
        <w:ind w:left="11366" w:hanging="180"/>
      </w:pPr>
    </w:lvl>
  </w:abstractNum>
  <w:abstractNum w:abstractNumId="4">
    <w:nsid w:val="49936055"/>
    <w:multiLevelType w:val="hybridMultilevel"/>
    <w:tmpl w:val="BDB66E1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092C4F"/>
    <w:multiLevelType w:val="hybridMultilevel"/>
    <w:tmpl w:val="FD4E4FB0"/>
    <w:lvl w:ilvl="0" w:tplc="520871B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9D43F3"/>
    <w:multiLevelType w:val="hybridMultilevel"/>
    <w:tmpl w:val="FACC0DE8"/>
    <w:lvl w:ilvl="0" w:tplc="08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EA"/>
    <w:rsid w:val="00043682"/>
    <w:rsid w:val="000B0006"/>
    <w:rsid w:val="000F0C55"/>
    <w:rsid w:val="00155AA2"/>
    <w:rsid w:val="00191CF3"/>
    <w:rsid w:val="001976FE"/>
    <w:rsid w:val="001E56B6"/>
    <w:rsid w:val="00206149"/>
    <w:rsid w:val="00216380"/>
    <w:rsid w:val="00242456"/>
    <w:rsid w:val="00243FBB"/>
    <w:rsid w:val="00251C7D"/>
    <w:rsid w:val="00254372"/>
    <w:rsid w:val="00260EA1"/>
    <w:rsid w:val="002670A2"/>
    <w:rsid w:val="00296C85"/>
    <w:rsid w:val="00303EAE"/>
    <w:rsid w:val="00324EBE"/>
    <w:rsid w:val="00387A27"/>
    <w:rsid w:val="003A78C6"/>
    <w:rsid w:val="003C2F6A"/>
    <w:rsid w:val="003C7F08"/>
    <w:rsid w:val="00404F4A"/>
    <w:rsid w:val="00411EDA"/>
    <w:rsid w:val="00437359"/>
    <w:rsid w:val="00466B5B"/>
    <w:rsid w:val="004A2D32"/>
    <w:rsid w:val="004B5C25"/>
    <w:rsid w:val="00527EC7"/>
    <w:rsid w:val="0053148C"/>
    <w:rsid w:val="00590A83"/>
    <w:rsid w:val="005A4D7F"/>
    <w:rsid w:val="005B3099"/>
    <w:rsid w:val="00654FE9"/>
    <w:rsid w:val="00666BD2"/>
    <w:rsid w:val="006801D4"/>
    <w:rsid w:val="00697836"/>
    <w:rsid w:val="006B0B04"/>
    <w:rsid w:val="006B0D54"/>
    <w:rsid w:val="006B30CD"/>
    <w:rsid w:val="006C7D0A"/>
    <w:rsid w:val="006D731E"/>
    <w:rsid w:val="00707F8E"/>
    <w:rsid w:val="00726EF2"/>
    <w:rsid w:val="007617DE"/>
    <w:rsid w:val="0076312A"/>
    <w:rsid w:val="007C7A0C"/>
    <w:rsid w:val="00811B0B"/>
    <w:rsid w:val="00823404"/>
    <w:rsid w:val="0084457B"/>
    <w:rsid w:val="00846499"/>
    <w:rsid w:val="00862F43"/>
    <w:rsid w:val="00864D3F"/>
    <w:rsid w:val="008A35FA"/>
    <w:rsid w:val="008B0732"/>
    <w:rsid w:val="008B738A"/>
    <w:rsid w:val="008D53CF"/>
    <w:rsid w:val="00913E69"/>
    <w:rsid w:val="00925B88"/>
    <w:rsid w:val="00990B93"/>
    <w:rsid w:val="009B582A"/>
    <w:rsid w:val="009C290A"/>
    <w:rsid w:val="009E0C3D"/>
    <w:rsid w:val="009F0C59"/>
    <w:rsid w:val="00A12991"/>
    <w:rsid w:val="00A15DD9"/>
    <w:rsid w:val="00A2795F"/>
    <w:rsid w:val="00A30614"/>
    <w:rsid w:val="00A517EA"/>
    <w:rsid w:val="00A72EE1"/>
    <w:rsid w:val="00A96668"/>
    <w:rsid w:val="00A96975"/>
    <w:rsid w:val="00AE03F1"/>
    <w:rsid w:val="00AF73F1"/>
    <w:rsid w:val="00B30650"/>
    <w:rsid w:val="00B543F3"/>
    <w:rsid w:val="00B756DB"/>
    <w:rsid w:val="00B77DE5"/>
    <w:rsid w:val="00B860BF"/>
    <w:rsid w:val="00B95DD2"/>
    <w:rsid w:val="00BA11D3"/>
    <w:rsid w:val="00BF317A"/>
    <w:rsid w:val="00C17C49"/>
    <w:rsid w:val="00C6574B"/>
    <w:rsid w:val="00CE0CD5"/>
    <w:rsid w:val="00CE0D21"/>
    <w:rsid w:val="00CE620F"/>
    <w:rsid w:val="00CF70C6"/>
    <w:rsid w:val="00D00F1A"/>
    <w:rsid w:val="00D05D82"/>
    <w:rsid w:val="00D064C2"/>
    <w:rsid w:val="00D45A7D"/>
    <w:rsid w:val="00D5572E"/>
    <w:rsid w:val="00D55E6A"/>
    <w:rsid w:val="00D724F4"/>
    <w:rsid w:val="00D75277"/>
    <w:rsid w:val="00D872C4"/>
    <w:rsid w:val="00DB36F6"/>
    <w:rsid w:val="00DB3A83"/>
    <w:rsid w:val="00DD5275"/>
    <w:rsid w:val="00DE5F8D"/>
    <w:rsid w:val="00E27678"/>
    <w:rsid w:val="00E46292"/>
    <w:rsid w:val="00E8735B"/>
    <w:rsid w:val="00EA0E3A"/>
    <w:rsid w:val="00F054F8"/>
    <w:rsid w:val="00F10238"/>
    <w:rsid w:val="00F44407"/>
    <w:rsid w:val="00F52359"/>
    <w:rsid w:val="00F579EE"/>
    <w:rsid w:val="00F64CC1"/>
    <w:rsid w:val="00F91A7F"/>
    <w:rsid w:val="00FA0BF5"/>
    <w:rsid w:val="00FA5F51"/>
    <w:rsid w:val="00FC0B6D"/>
    <w:rsid w:val="00FD5809"/>
    <w:rsid w:val="00FE3590"/>
    <w:rsid w:val="00FE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E6438D-8DAE-48E3-A5CD-CCC477D31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7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517EA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517EA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52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5275"/>
    <w:rPr>
      <w:rFonts w:ascii="Segoe UI" w:eastAsia="Times New Roman" w:hAnsi="Segoe UI" w:cs="Segoe UI"/>
      <w:sz w:val="18"/>
      <w:szCs w:val="18"/>
      <w:lang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B860BF"/>
    <w:pPr>
      <w:ind w:left="720"/>
      <w:contextualSpacing/>
    </w:p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FC0B6D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7617DE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657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5</Pages>
  <Words>987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Rocio</dc:creator>
  <cp:keywords/>
  <dc:description/>
  <cp:lastModifiedBy>PONENCIA EAY</cp:lastModifiedBy>
  <cp:revision>5</cp:revision>
  <cp:lastPrinted>2018-11-06T19:54:00Z</cp:lastPrinted>
  <dcterms:created xsi:type="dcterms:W3CDTF">2018-11-06T02:05:00Z</dcterms:created>
  <dcterms:modified xsi:type="dcterms:W3CDTF">2018-11-21T02:34:00Z</dcterms:modified>
</cp:coreProperties>
</file>